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4DCB7CD1" w:rsidR="00EF3CDE" w:rsidRDefault="00F148F9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(</w:t>
      </w:r>
      <w:r w:rsidR="00932268">
        <w:rPr>
          <w:rStyle w:val="None"/>
          <w:rFonts w:ascii="Arial" w:hAnsi="Arial"/>
          <w:b/>
          <w:bCs/>
        </w:rPr>
        <w:t>Съгласно ч</w:t>
      </w:r>
      <w:r>
        <w:rPr>
          <w:rStyle w:val="None"/>
          <w:rFonts w:ascii="Arial" w:hAnsi="Arial"/>
          <w:b/>
          <w:bCs/>
        </w:rPr>
        <w:t>л.12, ал.1, т.4 от Наредба №2 /</w:t>
      </w:r>
      <w:r w:rsidR="00932268">
        <w:rPr>
          <w:rStyle w:val="None"/>
          <w:rFonts w:ascii="Arial" w:hAnsi="Arial"/>
          <w:b/>
          <w:bCs/>
        </w:rPr>
        <w:t>в сила от 05.04.2022 г.)</w:t>
      </w:r>
    </w:p>
    <w:p w14:paraId="5E575AD9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7B212514" w:rsidR="00EF3CDE" w:rsidRPr="0063442D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към финансов отчет – 3</w:t>
      </w:r>
      <w:r w:rsidR="003B60D2">
        <w:rPr>
          <w:rStyle w:val="None"/>
          <w:rFonts w:ascii="Arial" w:hAnsi="Arial"/>
          <w:b/>
          <w:bCs/>
          <w:sz w:val="28"/>
          <w:szCs w:val="28"/>
          <w:lang w:val="bg-BG"/>
        </w:rPr>
        <w:t>0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5A5855">
        <w:rPr>
          <w:rStyle w:val="None"/>
          <w:rFonts w:ascii="Arial" w:hAnsi="Arial"/>
          <w:b/>
          <w:bCs/>
          <w:sz w:val="28"/>
          <w:szCs w:val="28"/>
        </w:rPr>
        <w:t>0</w:t>
      </w:r>
      <w:r w:rsidR="00F148F9">
        <w:rPr>
          <w:rStyle w:val="None"/>
          <w:rFonts w:ascii="Arial" w:hAnsi="Arial"/>
          <w:b/>
          <w:bCs/>
          <w:sz w:val="28"/>
          <w:szCs w:val="28"/>
          <w:lang w:val="bg-BG"/>
        </w:rPr>
        <w:t>9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.202</w:t>
      </w:r>
      <w:r w:rsidR="005A5855">
        <w:rPr>
          <w:rStyle w:val="None"/>
          <w:rFonts w:ascii="Arial" w:hAnsi="Arial"/>
          <w:b/>
          <w:bCs/>
          <w:sz w:val="28"/>
          <w:szCs w:val="28"/>
          <w:lang w:val="bg-BG"/>
        </w:rPr>
        <w:t>3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 xml:space="preserve"> год.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61BB33D5" w:rsidR="00636F9D" w:rsidRDefault="005A5855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полугодие на 2023</w:t>
      </w:r>
      <w:r w:rsidR="00636F9D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>
        <w:rPr>
          <w:sz w:val="24"/>
          <w:szCs w:val="24"/>
          <w:lang w:val="bg-BG"/>
        </w:rPr>
        <w:t xml:space="preserve"> асоциирано</w:t>
      </w:r>
      <w:r w:rsidR="00951F92">
        <w:rPr>
          <w:sz w:val="24"/>
          <w:szCs w:val="24"/>
          <w:lang w:val="bg-BG"/>
        </w:rPr>
        <w:t xml:space="preserve"> дружеств</w:t>
      </w:r>
      <w:r>
        <w:rPr>
          <w:sz w:val="24"/>
          <w:szCs w:val="24"/>
          <w:lang w:val="bg-BG"/>
        </w:rPr>
        <w:t>о</w:t>
      </w:r>
      <w:r w:rsidR="00951F92">
        <w:rPr>
          <w:sz w:val="24"/>
          <w:szCs w:val="24"/>
          <w:lang w:val="bg-BG"/>
        </w:rPr>
        <w:t xml:space="preserve"> - </w:t>
      </w:r>
      <w:r w:rsidR="00A36303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ТЕЛБ ИНВЕСТ</w:t>
      </w:r>
      <w:r w:rsidR="00A36303">
        <w:rPr>
          <w:sz w:val="24"/>
          <w:szCs w:val="24"/>
          <w:lang w:val="bg-BG"/>
        </w:rPr>
        <w:t>“ АД</w:t>
      </w:r>
      <w:r>
        <w:rPr>
          <w:sz w:val="24"/>
          <w:szCs w:val="24"/>
          <w:lang w:val="bg-BG"/>
        </w:rPr>
        <w:t>.</w:t>
      </w:r>
    </w:p>
    <w:p w14:paraId="619FF823" w14:textId="4919BD2D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72FD7424" w:rsidR="00EF3CDE" w:rsidRDefault="00A4771E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Ч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ленове</w:t>
      </w:r>
      <w:r>
        <w:rPr>
          <w:rStyle w:val="None"/>
          <w:rFonts w:ascii="Arial" w:hAnsi="Arial"/>
          <w:sz w:val="24"/>
          <w:szCs w:val="24"/>
          <w:lang w:val="ru-RU"/>
        </w:rPr>
        <w:t>те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на 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 на директорите,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притежават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към 3</w:t>
      </w:r>
      <w:r w:rsidR="003B60D2">
        <w:rPr>
          <w:rStyle w:val="None"/>
          <w:rFonts w:ascii="Arial" w:hAnsi="Arial"/>
          <w:sz w:val="24"/>
          <w:szCs w:val="24"/>
          <w:lang w:val="ru-RU"/>
        </w:rPr>
        <w:t>0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</w:t>
      </w:r>
      <w:r w:rsidR="002E0E34">
        <w:rPr>
          <w:rStyle w:val="None"/>
          <w:rFonts w:ascii="Arial" w:hAnsi="Arial"/>
          <w:sz w:val="24"/>
          <w:szCs w:val="24"/>
          <w:lang w:val="ru-RU"/>
        </w:rPr>
        <w:t>0</w:t>
      </w:r>
      <w:r w:rsidR="00F148F9">
        <w:rPr>
          <w:rStyle w:val="None"/>
          <w:rFonts w:ascii="Arial" w:hAnsi="Arial"/>
          <w:sz w:val="24"/>
          <w:szCs w:val="24"/>
          <w:lang w:val="ru-RU"/>
        </w:rPr>
        <w:t>9</w:t>
      </w:r>
      <w:bookmarkStart w:id="0" w:name="_GoBack"/>
      <w:bookmarkEnd w:id="0"/>
      <w:r w:rsidR="00932268">
        <w:rPr>
          <w:rStyle w:val="None"/>
          <w:rFonts w:ascii="Arial" w:hAnsi="Arial"/>
          <w:sz w:val="24"/>
          <w:szCs w:val="24"/>
          <w:lang w:val="ru-RU"/>
        </w:rPr>
        <w:t>.202</w:t>
      </w:r>
      <w:r w:rsidR="002E0E34">
        <w:rPr>
          <w:rStyle w:val="None"/>
          <w:rFonts w:ascii="Arial" w:hAnsi="Arial"/>
          <w:sz w:val="24"/>
          <w:szCs w:val="24"/>
          <w:lang w:val="ru-RU"/>
        </w:rPr>
        <w:t>3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г.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BCAE0E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065 бр. акции.</w:t>
      </w:r>
    </w:p>
    <w:p w14:paraId="7C374016" w14:textId="4952A7B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 w:rsidR="003B60D2">
        <w:rPr>
          <w:rStyle w:val="None"/>
          <w:rFonts w:ascii="Arial" w:hAnsi="Arial"/>
          <w:sz w:val="24"/>
          <w:szCs w:val="24"/>
          <w:lang w:val="ru-RU"/>
        </w:rPr>
        <w:t xml:space="preserve"> – 46</w:t>
      </w:r>
      <w:r>
        <w:rPr>
          <w:rStyle w:val="None"/>
          <w:rFonts w:ascii="Arial" w:hAnsi="Arial"/>
          <w:sz w:val="24"/>
          <w:szCs w:val="24"/>
          <w:lang w:val="ru-RU"/>
        </w:rPr>
        <w:t>3</w:t>
      </w:r>
      <w:r w:rsidR="003B60D2">
        <w:rPr>
          <w:rStyle w:val="None"/>
          <w:rFonts w:ascii="Arial" w:hAnsi="Arial"/>
          <w:sz w:val="24"/>
          <w:szCs w:val="24"/>
          <w:lang w:val="ru-RU"/>
        </w:rPr>
        <w:t>5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69D6B0E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От 06.04.2022 г. ХД „ДУНАВ“ АД се управлява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</w:rPr>
        <w:t xml:space="preserve">представлява от Председателя на СД – г-н Петър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8411AB">
        <w:rPr>
          <w:rStyle w:val="None"/>
          <w:rFonts w:ascii="Arial" w:hAnsi="Arial"/>
          <w:sz w:val="24"/>
          <w:szCs w:val="24"/>
        </w:rPr>
        <w:t>Аврамов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Изпълнителния директор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r>
        <w:rPr>
          <w:rStyle w:val="None"/>
          <w:rFonts w:ascii="Arial" w:hAnsi="Arial"/>
          <w:sz w:val="24"/>
          <w:szCs w:val="24"/>
        </w:rPr>
        <w:t>Стефан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Лазаров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заедно и поотделно.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>
      <w:footerReference w:type="default" r:id="rId7"/>
      <w:pgSz w:w="11900" w:h="16840"/>
      <w:pgMar w:top="899" w:right="992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55D1" w14:textId="77777777" w:rsidR="009402AD" w:rsidRDefault="009402AD">
      <w:r>
        <w:separator/>
      </w:r>
    </w:p>
  </w:endnote>
  <w:endnote w:type="continuationSeparator" w:id="0">
    <w:p w14:paraId="19D40839" w14:textId="77777777" w:rsidR="009402AD" w:rsidRDefault="0094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45E8D81B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905201">
      <w:rPr>
        <w:noProof/>
      </w:rPr>
      <w:t>1</w:t>
    </w:r>
    <w:r>
      <w:fldChar w:fldCharType="end"/>
    </w:r>
  </w:p>
  <w:p w14:paraId="6323B2FD" w14:textId="470A0F96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  <w:rPr>
        <w:rStyle w:val="None"/>
      </w:rPr>
    </w:pPr>
    <w:r>
      <w:t>3000 Враца ул.Стоян Кялъчев”№6, п.к.31,</w:t>
    </w:r>
    <w:r w:rsidR="00DC7E94">
      <w:rPr>
        <w:lang w:val="bg-BG"/>
      </w:rPr>
      <w:t xml:space="preserve"> мобилен </w:t>
    </w:r>
    <w:r>
      <w:t>тел:</w:t>
    </w:r>
    <w:r w:rsidR="00DC7E94">
      <w:rPr>
        <w:lang w:val="bg-BG"/>
      </w:rPr>
      <w:t xml:space="preserve"> +35</w:t>
    </w:r>
    <w:r>
      <w:t>9</w:t>
    </w:r>
    <w:r w:rsidR="00DC7E94">
      <w:rPr>
        <w:lang w:val="bg-BG"/>
      </w:rPr>
      <w:t> 877 08 84 58</w:t>
    </w:r>
    <w:r>
      <w:t xml:space="preserve">,е-mail: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4590A" w14:textId="77777777" w:rsidR="009402AD" w:rsidRDefault="009402AD">
      <w:r>
        <w:separator/>
      </w:r>
    </w:p>
  </w:footnote>
  <w:footnote w:type="continuationSeparator" w:id="0">
    <w:p w14:paraId="744E23A9" w14:textId="77777777" w:rsidR="009402AD" w:rsidRDefault="0094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07546E"/>
    <w:rsid w:val="00121ECD"/>
    <w:rsid w:val="00157B4A"/>
    <w:rsid w:val="00211F3B"/>
    <w:rsid w:val="00231BD9"/>
    <w:rsid w:val="00241830"/>
    <w:rsid w:val="00296D11"/>
    <w:rsid w:val="002E0E34"/>
    <w:rsid w:val="003530F0"/>
    <w:rsid w:val="003B60D2"/>
    <w:rsid w:val="004A4038"/>
    <w:rsid w:val="004E10C3"/>
    <w:rsid w:val="005A5855"/>
    <w:rsid w:val="005D4A37"/>
    <w:rsid w:val="0063442D"/>
    <w:rsid w:val="00636F9D"/>
    <w:rsid w:val="006462E5"/>
    <w:rsid w:val="006F68AA"/>
    <w:rsid w:val="00701644"/>
    <w:rsid w:val="007A5E83"/>
    <w:rsid w:val="008411AB"/>
    <w:rsid w:val="0086464C"/>
    <w:rsid w:val="008C7197"/>
    <w:rsid w:val="008E459A"/>
    <w:rsid w:val="00905201"/>
    <w:rsid w:val="00932268"/>
    <w:rsid w:val="009402AD"/>
    <w:rsid w:val="00951F92"/>
    <w:rsid w:val="00A36303"/>
    <w:rsid w:val="00A4771E"/>
    <w:rsid w:val="00A904F3"/>
    <w:rsid w:val="00AD1E65"/>
    <w:rsid w:val="00AD5E90"/>
    <w:rsid w:val="00B1216D"/>
    <w:rsid w:val="00C26A24"/>
    <w:rsid w:val="00C63A8E"/>
    <w:rsid w:val="00CF7D85"/>
    <w:rsid w:val="00DC7E94"/>
    <w:rsid w:val="00EB728B"/>
    <w:rsid w:val="00EF3CDE"/>
    <w:rsid w:val="00F148F9"/>
    <w:rsid w:val="00F1521B"/>
    <w:rsid w:val="00F43355"/>
    <w:rsid w:val="00F65D7E"/>
    <w:rsid w:val="00F974CD"/>
    <w:rsid w:val="00FC5A28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C7E94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C7E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vsVVp3qJuabDuWVTu4HMtbIuJHyVnNobKTw/9l8chzY=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CH8jFEGLUD8lgme7kOemnsY81nwDCKa3VHeVWKcwcZI=</DigestValue>
    </Reference>
  </SignedInfo>
  <SignatureValue>I5R2Fobjw8F+6j9LZe8kWvDY4yumH4Qw6Xqlb7mOkICY9zSfnlyinNBEXWzm8Xcl3Knj4X/EWv2v
8yp0ojAv7oJ3UuQvcqe4hPiasB3YXK2PRxKMxV9F+tzQbEVaFjoj0qPoKZKMSCuRUrPAdSwOjnUb
2krblbJ3GUzGcoI9N4WdOsRrmGQScSyqEXHWuC3bsu7+AeoSuuSSNCgCGdMPgPZM9oqHVktiMF5T
3cIba+XLhLpYGMFqn2nKChRa6WpzR4QqRzSF/XE06vS1ZQmXNHMFgBT2Q951mrZ2bzG5PKtKyDfO
LJsoSHAKlWBfeGQ7aKnF5Wcn+x2bszLPsD1uyA==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C54HHNOjvmWkp8MjIVEVEN38cQnJ7OeFBL2ZmOtt0nw=</DigestValue>
      </Reference>
      <Reference URI="/word/endnotes.xml?ContentType=application/vnd.openxmlformats-officedocument.wordprocessingml.endnotes+xml">
        <DigestMethod Algorithm="http://www.w3.org/2001/04/xmlenc#sha256"/>
        <DigestValue>t1nFPaJj99Vue12UBRKnBglEBEs4HoCT50b5vhleU/g=</DigestValue>
      </Reference>
      <Reference URI="/word/fontTable.xml?ContentType=application/vnd.openxmlformats-officedocument.wordprocessingml.fontTable+xml">
        <DigestMethod Algorithm="http://www.w3.org/2001/04/xmlenc#sha256"/>
        <DigestValue>M2P9y/6ZhXAC7DmwpEZtlKD6mY2GIvyotWzyLXNcfT8=</DigestValue>
      </Reference>
      <Reference URI="/word/footer1.xml?ContentType=application/vnd.openxmlformats-officedocument.wordprocessingml.footer+xml">
        <DigestMethod Algorithm="http://www.w3.org/2001/04/xmlenc#sha256"/>
        <DigestValue>6JnJ79vs52eXGJRisVHYGyQYh8oFaPdDDrxaJXBA5Nc=</DigestValue>
      </Reference>
      <Reference URI="/word/footnotes.xml?ContentType=application/vnd.openxmlformats-officedocument.wordprocessingml.footnotes+xml">
        <DigestMethod Algorithm="http://www.w3.org/2001/04/xmlenc#sha256"/>
        <DigestValue>6NKhHB9I7cOQAcD7CAQXjoID+VAQPEpUL7DIv4vjLDU=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CzStO4Pmiyff+I31FIUX/oWglIkGxiOiSrVA0g0tq5c=</DigestValue>
      </Reference>
      <Reference URI="/word/styles.xml?ContentType=application/vnd.openxmlformats-officedocument.wordprocessingml.styles+xml">
        <DigestMethod Algorithm="http://www.w3.org/2001/04/xmlenc#sha256"/>
        <DigestValue>lart4QuTfBuGlsurCy6X21n6x6OQtI8CG3Ln/CyorKg=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mjg4OrORvqMHXIDzFf6TEs8R8e0KjBAgFW1YdSeJrGk=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2023-10-30T11:44:05Z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2023-10-30T11:44:05Z</xd:SigningTime>
          <xd:SigningCertificate>
            <xd:Cert>
              <xd:CertDigest>
                <DigestMethod Algorithm="http://www.w3.org/2001/04/xmlenc#sha256"/>
                <DigestValue>avmGEqeuj/0j1q2ycFKNxoZ6Dv3sqosFl2I1wDs4uUE=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34</cp:revision>
  <cp:lastPrinted>2023-01-27T07:37:00Z</cp:lastPrinted>
  <dcterms:created xsi:type="dcterms:W3CDTF">2022-07-28T10:17:00Z</dcterms:created>
  <dcterms:modified xsi:type="dcterms:W3CDTF">2023-10-23T08:00:00Z</dcterms:modified>
</cp:coreProperties>
</file>