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4DCB7CD1" w:rsidR="00EF3CDE" w:rsidRDefault="00F148F9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(</w:t>
      </w:r>
      <w:r w:rsidR="00932268">
        <w:rPr>
          <w:rStyle w:val="None"/>
          <w:rFonts w:ascii="Arial" w:hAnsi="Arial"/>
          <w:b/>
          <w:bCs/>
        </w:rPr>
        <w:t>Съгласно ч</w:t>
      </w:r>
      <w:r>
        <w:rPr>
          <w:rStyle w:val="None"/>
          <w:rFonts w:ascii="Arial" w:hAnsi="Arial"/>
          <w:b/>
          <w:bCs/>
        </w:rPr>
        <w:t>л.12, ал.1, т.4 от Наредба №2 /</w:t>
      </w:r>
      <w:r w:rsidR="00932268">
        <w:rPr>
          <w:rStyle w:val="None"/>
          <w:rFonts w:ascii="Arial" w:hAnsi="Arial"/>
          <w:b/>
          <w:bCs/>
        </w:rPr>
        <w:t>в сила от 05.04.2022 г.)</w:t>
      </w:r>
    </w:p>
    <w:p w14:paraId="5E575AD9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12F734CE" w:rsidR="00EF3CDE" w:rsidRPr="00DD3A44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към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финансов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отчет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– 3</w:t>
      </w:r>
      <w:r w:rsidR="00DD3A44">
        <w:rPr>
          <w:rStyle w:val="None"/>
          <w:rFonts w:ascii="Arial" w:hAnsi="Arial"/>
          <w:b/>
          <w:bCs/>
          <w:sz w:val="28"/>
          <w:szCs w:val="28"/>
          <w:lang w:val="bg-BG"/>
        </w:rPr>
        <w:t>1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DD3A44">
        <w:rPr>
          <w:rStyle w:val="None"/>
          <w:rFonts w:ascii="Arial" w:hAnsi="Arial"/>
          <w:b/>
          <w:bCs/>
          <w:sz w:val="28"/>
          <w:szCs w:val="28"/>
        </w:rPr>
        <w:t>12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.202</w:t>
      </w:r>
      <w:r w:rsidR="005A5855">
        <w:rPr>
          <w:rStyle w:val="None"/>
          <w:rFonts w:ascii="Arial" w:hAnsi="Arial"/>
          <w:b/>
          <w:bCs/>
          <w:sz w:val="28"/>
          <w:szCs w:val="28"/>
          <w:lang w:val="bg-BG"/>
        </w:rPr>
        <w:t>3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932268">
        <w:rPr>
          <w:rStyle w:val="None"/>
          <w:rFonts w:ascii="Arial" w:hAnsi="Arial"/>
          <w:b/>
          <w:bCs/>
          <w:sz w:val="28"/>
          <w:szCs w:val="28"/>
        </w:rPr>
        <w:t>год</w:t>
      </w:r>
      <w:proofErr w:type="spellEnd"/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DD3A44">
        <w:rPr>
          <w:rStyle w:val="None"/>
          <w:rFonts w:ascii="Arial" w:hAnsi="Arial"/>
          <w:b/>
          <w:bCs/>
          <w:sz w:val="28"/>
          <w:szCs w:val="28"/>
        </w:rPr>
        <w:t xml:space="preserve"> – </w:t>
      </w:r>
      <w:r w:rsidR="00DD3A44">
        <w:rPr>
          <w:rStyle w:val="None"/>
          <w:rFonts w:ascii="Arial" w:hAnsi="Arial"/>
          <w:b/>
          <w:bCs/>
          <w:sz w:val="28"/>
          <w:szCs w:val="28"/>
          <w:lang w:val="bg-BG"/>
        </w:rPr>
        <w:t>предварителен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61BB33D5" w:rsidR="00636F9D" w:rsidRDefault="005A5855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полугодие на 2023</w:t>
      </w:r>
      <w:r w:rsidR="00636F9D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>
        <w:rPr>
          <w:sz w:val="24"/>
          <w:szCs w:val="24"/>
          <w:lang w:val="bg-BG"/>
        </w:rPr>
        <w:t xml:space="preserve"> асоциирано</w:t>
      </w:r>
      <w:r w:rsidR="00951F92">
        <w:rPr>
          <w:sz w:val="24"/>
          <w:szCs w:val="24"/>
          <w:lang w:val="bg-BG"/>
        </w:rPr>
        <w:t xml:space="preserve"> дружеств</w:t>
      </w:r>
      <w:r>
        <w:rPr>
          <w:sz w:val="24"/>
          <w:szCs w:val="24"/>
          <w:lang w:val="bg-BG"/>
        </w:rPr>
        <w:t>о</w:t>
      </w:r>
      <w:r w:rsidR="00951F92">
        <w:rPr>
          <w:sz w:val="24"/>
          <w:szCs w:val="24"/>
          <w:lang w:val="bg-BG"/>
        </w:rPr>
        <w:t xml:space="preserve"> - </w:t>
      </w:r>
      <w:r w:rsidR="00A36303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ТЕЛБ ИНВЕСТ</w:t>
      </w:r>
      <w:r w:rsidR="00A36303">
        <w:rPr>
          <w:sz w:val="24"/>
          <w:szCs w:val="24"/>
          <w:lang w:val="bg-BG"/>
        </w:rPr>
        <w:t>“ АД</w:t>
      </w:r>
      <w:r>
        <w:rPr>
          <w:sz w:val="24"/>
          <w:szCs w:val="24"/>
          <w:lang w:val="bg-BG"/>
        </w:rPr>
        <w:t>.</w:t>
      </w:r>
    </w:p>
    <w:p w14:paraId="619FF823" w14:textId="4919BD2D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3BAA8AE4" w:rsidR="00EF3CDE" w:rsidRDefault="00A4771E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Ч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ленове</w:t>
      </w:r>
      <w:r>
        <w:rPr>
          <w:rStyle w:val="None"/>
          <w:rFonts w:ascii="Arial" w:hAnsi="Arial"/>
          <w:sz w:val="24"/>
          <w:szCs w:val="24"/>
          <w:lang w:val="ru-RU"/>
        </w:rPr>
        <w:t>те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на 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ъвета на </w:t>
      </w:r>
      <w:proofErr w:type="spellStart"/>
      <w:r w:rsidR="00A904F3">
        <w:rPr>
          <w:rStyle w:val="None"/>
          <w:rFonts w:ascii="Arial" w:hAnsi="Arial"/>
          <w:sz w:val="24"/>
          <w:szCs w:val="24"/>
          <w:lang w:val="ru-RU"/>
        </w:rPr>
        <w:t>директорите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>,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притежават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към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3</w:t>
      </w:r>
      <w:r w:rsidR="00DD3A44">
        <w:rPr>
          <w:rStyle w:val="None"/>
          <w:rFonts w:ascii="Arial" w:hAnsi="Arial"/>
          <w:sz w:val="24"/>
          <w:szCs w:val="24"/>
          <w:lang w:val="ru-RU"/>
        </w:rPr>
        <w:t>1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</w:t>
      </w:r>
      <w:r w:rsidR="00DD3A44">
        <w:rPr>
          <w:rStyle w:val="None"/>
          <w:rFonts w:ascii="Arial" w:hAnsi="Arial"/>
          <w:sz w:val="24"/>
          <w:szCs w:val="24"/>
          <w:lang w:val="ru-RU"/>
        </w:rPr>
        <w:t>12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.202</w:t>
      </w:r>
      <w:r w:rsidR="002E0E34">
        <w:rPr>
          <w:rStyle w:val="None"/>
          <w:rFonts w:ascii="Arial" w:hAnsi="Arial"/>
          <w:sz w:val="24"/>
          <w:szCs w:val="24"/>
          <w:lang w:val="ru-RU"/>
        </w:rPr>
        <w:t>3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г.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BCAE0E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065 бр. акции.</w:t>
      </w:r>
    </w:p>
    <w:p w14:paraId="7C374016" w14:textId="4952A7B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 w:rsidR="003B60D2">
        <w:rPr>
          <w:rStyle w:val="None"/>
          <w:rFonts w:ascii="Arial" w:hAnsi="Arial"/>
          <w:sz w:val="24"/>
          <w:szCs w:val="24"/>
          <w:lang w:val="ru-RU"/>
        </w:rPr>
        <w:t xml:space="preserve"> – 46</w:t>
      </w:r>
      <w:r>
        <w:rPr>
          <w:rStyle w:val="None"/>
          <w:rFonts w:ascii="Arial" w:hAnsi="Arial"/>
          <w:sz w:val="24"/>
          <w:szCs w:val="24"/>
          <w:lang w:val="ru-RU"/>
        </w:rPr>
        <w:t>3</w:t>
      </w:r>
      <w:r w:rsidR="003B60D2">
        <w:rPr>
          <w:rStyle w:val="None"/>
          <w:rFonts w:ascii="Arial" w:hAnsi="Arial"/>
          <w:sz w:val="24"/>
          <w:szCs w:val="24"/>
          <w:lang w:val="ru-RU"/>
        </w:rPr>
        <w:t>5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0DF480C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Style w:val="None"/>
          <w:rFonts w:ascii="Arial" w:hAnsi="Arial"/>
          <w:sz w:val="24"/>
          <w:szCs w:val="24"/>
        </w:rPr>
        <w:t>ХД „ДУНАВ“ АД се управлява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</w:rPr>
        <w:t xml:space="preserve">представлява от Председателя на СД – г-н Петър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8411AB">
        <w:rPr>
          <w:rStyle w:val="None"/>
          <w:rFonts w:ascii="Arial" w:hAnsi="Arial"/>
          <w:sz w:val="24"/>
          <w:szCs w:val="24"/>
        </w:rPr>
        <w:t>Аврамов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Изпълнителния директор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r>
        <w:rPr>
          <w:rStyle w:val="None"/>
          <w:rFonts w:ascii="Arial" w:hAnsi="Arial"/>
          <w:sz w:val="24"/>
          <w:szCs w:val="24"/>
        </w:rPr>
        <w:t>Стефан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Лазаров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заедно и поотделно.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>
      <w:footerReference w:type="default" r:id="rId7"/>
      <w:pgSz w:w="11900" w:h="16840"/>
      <w:pgMar w:top="899" w:right="992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460A7" w14:textId="77777777" w:rsidR="00D66A7E" w:rsidRDefault="00D66A7E">
      <w:r>
        <w:separator/>
      </w:r>
    </w:p>
  </w:endnote>
  <w:endnote w:type="continuationSeparator" w:id="0">
    <w:p w14:paraId="18E046E5" w14:textId="77777777" w:rsidR="00D66A7E" w:rsidRDefault="00D6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2042B9FD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DD3A44">
      <w:rPr>
        <w:noProof/>
      </w:rPr>
      <w:t>2</w:t>
    </w:r>
    <w:r>
      <w:fldChar w:fldCharType="end"/>
    </w:r>
  </w:p>
  <w:p w14:paraId="6323B2FD" w14:textId="470A0F96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  <w:rPr>
        <w:rStyle w:val="None"/>
      </w:rPr>
    </w:pPr>
    <w:r>
      <w:t>3000 Враца ул.Стоян Кялъчев”№6, п.к.31,</w:t>
    </w:r>
    <w:r w:rsidR="00DC7E94">
      <w:rPr>
        <w:lang w:val="bg-BG"/>
      </w:rPr>
      <w:t xml:space="preserve"> мобилен </w:t>
    </w:r>
    <w:r>
      <w:t>тел:</w:t>
    </w:r>
    <w:r w:rsidR="00DC7E94">
      <w:rPr>
        <w:lang w:val="bg-BG"/>
      </w:rPr>
      <w:t xml:space="preserve"> +35</w:t>
    </w:r>
    <w:r>
      <w:t>9</w:t>
    </w:r>
    <w:r w:rsidR="00DC7E94">
      <w:rPr>
        <w:lang w:val="bg-BG"/>
      </w:rPr>
      <w:t> 877 08 84 58</w:t>
    </w:r>
    <w:r>
      <w:t xml:space="preserve">,е-mail: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5892B" w14:textId="77777777" w:rsidR="00D66A7E" w:rsidRDefault="00D66A7E">
      <w:r>
        <w:separator/>
      </w:r>
    </w:p>
  </w:footnote>
  <w:footnote w:type="continuationSeparator" w:id="0">
    <w:p w14:paraId="3FD921D0" w14:textId="77777777" w:rsidR="00D66A7E" w:rsidRDefault="00D6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07546E"/>
    <w:rsid w:val="00121ECD"/>
    <w:rsid w:val="00157B4A"/>
    <w:rsid w:val="00211F3B"/>
    <w:rsid w:val="00231BD9"/>
    <w:rsid w:val="00241830"/>
    <w:rsid w:val="00296D11"/>
    <w:rsid w:val="002E0E34"/>
    <w:rsid w:val="003530F0"/>
    <w:rsid w:val="003B60D2"/>
    <w:rsid w:val="004A4038"/>
    <w:rsid w:val="004E10C3"/>
    <w:rsid w:val="005A5855"/>
    <w:rsid w:val="005D4A37"/>
    <w:rsid w:val="0063442D"/>
    <w:rsid w:val="00636F9D"/>
    <w:rsid w:val="006462E5"/>
    <w:rsid w:val="006F68AA"/>
    <w:rsid w:val="00701644"/>
    <w:rsid w:val="007A5E83"/>
    <w:rsid w:val="008411AB"/>
    <w:rsid w:val="0086464C"/>
    <w:rsid w:val="008C7197"/>
    <w:rsid w:val="008E459A"/>
    <w:rsid w:val="00905201"/>
    <w:rsid w:val="00932268"/>
    <w:rsid w:val="009402AD"/>
    <w:rsid w:val="00951F92"/>
    <w:rsid w:val="00A36303"/>
    <w:rsid w:val="00A4771E"/>
    <w:rsid w:val="00A904F3"/>
    <w:rsid w:val="00AD1E65"/>
    <w:rsid w:val="00AD5E90"/>
    <w:rsid w:val="00B1216D"/>
    <w:rsid w:val="00C26A24"/>
    <w:rsid w:val="00C63A8E"/>
    <w:rsid w:val="00CF7D85"/>
    <w:rsid w:val="00D66A7E"/>
    <w:rsid w:val="00DC7E94"/>
    <w:rsid w:val="00DD3A44"/>
    <w:rsid w:val="00EB728B"/>
    <w:rsid w:val="00EF3CDE"/>
    <w:rsid w:val="00F148F9"/>
    <w:rsid w:val="00F1521B"/>
    <w:rsid w:val="00F43355"/>
    <w:rsid w:val="00F65D7E"/>
    <w:rsid w:val="00F974CD"/>
    <w:rsid w:val="00FC5A28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C7E94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C7E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OC0oN45Wyx64LjvYtBPHn1DlkxWDjQLpKrnnVQJ/WPc=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rFawJvIEGoF9nZ2Ppn/U3+p4qRpBU9GjBnxtoRmWAo0=</DigestValue>
    </Reference>
  </SignedInfo>
  <SignatureValue>R4dRvcF60ewLwRmnaQo3KhEAoC8rHVaLt+a5Ajs0QeHbJKRkdgefaKOCOVR/ZNjZGfUO135HYCuD
5pAvb+YZ8ghtVq+sCKe5HHU9w60xNHj7x/BQ8YwNON2kcEbHLx8P4z3RPecscpww+8fuNJoG9m0s
4bg7sLV8pJ0wISnerRMIeDNKSA1U9pAt8sc85vIRng3952XXTGoax5MVL2NH/eb3vhxu2LJ6SZeT
Wm42bQRIt8iyOopn+wmxR9uQi+490N0iqSW1lmgf82aSd+hmYEjs1lbghiSILSxI5wpjQOsNwLEl
gYflfwwUo8r5IoR5GB2B5Qffv2JHCsgm+AZnqg==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zZ8xIcthAh4PSJ7TH9vhk3MqPocwFdp7Uh8XbbLGO38=</DigestValue>
      </Reference>
      <Reference URI="/word/endnotes.xml?ContentType=application/vnd.openxmlformats-officedocument.wordprocessingml.endnotes+xml">
        <DigestMethod Algorithm="http://www.w3.org/2001/04/xmlenc#sha256"/>
        <DigestValue>E/UG1PDr18L5tsL6nT28Xz8P+jE4GTYitBzNJjY6fgc=</DigestValue>
      </Reference>
      <Reference URI="/word/fontTable.xml?ContentType=application/vnd.openxmlformats-officedocument.wordprocessingml.fontTable+xml">
        <DigestMethod Algorithm="http://www.w3.org/2001/04/xmlenc#sha256"/>
        <DigestValue>M2P9y/6ZhXAC7DmwpEZtlKD6mY2GIvyotWzyLXNcfT8=</DigestValue>
      </Reference>
      <Reference URI="/word/footer1.xml?ContentType=application/vnd.openxmlformats-officedocument.wordprocessingml.footer+xml">
        <DigestMethod Algorithm="http://www.w3.org/2001/04/xmlenc#sha256"/>
        <DigestValue>TNKoIp9h0bEERWQGjg68n5PnUYKz4G6nTq2CyF6Vy68=</DigestValue>
      </Reference>
      <Reference URI="/word/footnotes.xml?ContentType=application/vnd.openxmlformats-officedocument.wordprocessingml.footnotes+xml">
        <DigestMethod Algorithm="http://www.w3.org/2001/04/xmlenc#sha256"/>
        <DigestValue>DsQ07FdfuS0rjJ46jGjM/VIAOt/mOBqSltuDLOW0upY=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4A2aD73UEeCgxsw2ftuEcbIlg2bRn9BwfCuXDPneMdk=</DigestValue>
      </Reference>
      <Reference URI="/word/styles.xml?ContentType=application/vnd.openxmlformats-officedocument.wordprocessingml.styles+xml">
        <DigestMethod Algorithm="http://www.w3.org/2001/04/xmlenc#sha256"/>
        <DigestValue>lart4QuTfBuGlsurCy6X21n6x6OQtI8CG3Ln/CyorKg=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mjg4OrORvqMHXIDzFf6TEs8R8e0KjBAgFW1YdSeJrGk=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2024-01-30T12:13:11Z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2024-01-30T12:13:11Z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35</cp:revision>
  <cp:lastPrinted>2023-01-27T07:37:00Z</cp:lastPrinted>
  <dcterms:created xsi:type="dcterms:W3CDTF">2022-07-28T10:17:00Z</dcterms:created>
  <dcterms:modified xsi:type="dcterms:W3CDTF">2024-01-22T09:35:00Z</dcterms:modified>
</cp:coreProperties>
</file>