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62B97E80" w:rsidR="00D83B98" w:rsidRDefault="00264E5E" w:rsidP="003C5AD4">
      <w:pPr>
        <w:pStyle w:val="10"/>
        <w:ind w:left="4956"/>
        <w:rPr>
          <w:rStyle w:val="None"/>
          <w:rFonts w:ascii="Arial" w:hAnsi="Arial"/>
          <w:b/>
          <w:bCs/>
          <w:sz w:val="20"/>
          <w:szCs w:val="20"/>
        </w:rPr>
      </w:pPr>
      <w:r>
        <w:rPr>
          <w:rStyle w:val="None"/>
          <w:rFonts w:ascii="Arial" w:hAnsi="Arial"/>
          <w:b/>
          <w:bCs/>
          <w:sz w:val="20"/>
          <w:szCs w:val="20"/>
        </w:rPr>
        <w:t>Съгласно Приложение №4 към чл.12, ал.1, т.1 и чл. 14 от Наредба №2 първоначално и последващо разкриване на информация (ДВ.</w:t>
      </w:r>
      <w:r w:rsidR="00CA7FA0">
        <w:rPr>
          <w:rStyle w:val="None"/>
          <w:rFonts w:ascii="Arial" w:hAnsi="Arial"/>
          <w:b/>
          <w:bCs/>
          <w:sz w:val="20"/>
          <w:szCs w:val="20"/>
          <w:lang w:val="bg-BG"/>
        </w:rPr>
        <w:t xml:space="preserve"> </w:t>
      </w:r>
      <w:r>
        <w:rPr>
          <w:rStyle w:val="None"/>
          <w:rFonts w:ascii="Arial" w:hAnsi="Arial"/>
          <w:b/>
          <w:bCs/>
          <w:sz w:val="20"/>
          <w:szCs w:val="20"/>
        </w:rPr>
        <w:t>изм.</w:t>
      </w:r>
      <w:r w:rsidR="00CA7FA0">
        <w:rPr>
          <w:rStyle w:val="None"/>
          <w:rFonts w:ascii="Arial" w:hAnsi="Arial"/>
          <w:b/>
          <w:bCs/>
          <w:sz w:val="20"/>
          <w:szCs w:val="20"/>
          <w:lang w:val="bg-BG"/>
        </w:rPr>
        <w:t xml:space="preserve"> и доп. </w:t>
      </w:r>
      <w:r>
        <w:rPr>
          <w:rStyle w:val="None"/>
          <w:rFonts w:ascii="Arial" w:hAnsi="Arial"/>
          <w:b/>
          <w:bCs/>
          <w:sz w:val="20"/>
          <w:szCs w:val="20"/>
        </w:rPr>
        <w:t xml:space="preserve">бр.27/05.04.2022, в сила от 05.04.2022)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36881430" w:rsidR="00D83B98" w:rsidRPr="0059790E"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7E0B9E">
        <w:rPr>
          <w:rStyle w:val="None"/>
          <w:rFonts w:ascii="Arial" w:hAnsi="Arial"/>
          <w:color w:val="0000FF"/>
          <w:u w:color="0000FF"/>
        </w:rPr>
        <w:t>3</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BD33B2">
        <w:rPr>
          <w:rStyle w:val="None"/>
          <w:rFonts w:ascii="Arial" w:hAnsi="Arial"/>
          <w:color w:val="0000FF"/>
          <w:u w:color="0000FF"/>
          <w:lang w:val="bg-BG"/>
        </w:rPr>
        <w:t>0</w:t>
      </w:r>
      <w:r>
        <w:rPr>
          <w:rStyle w:val="None"/>
          <w:rFonts w:ascii="Arial" w:hAnsi="Arial"/>
          <w:color w:val="0000FF"/>
          <w:u w:color="0000FF"/>
        </w:rPr>
        <w:t>.</w:t>
      </w:r>
      <w:r w:rsidR="007E0B9E">
        <w:rPr>
          <w:rStyle w:val="None"/>
          <w:rFonts w:ascii="Arial" w:hAnsi="Arial"/>
          <w:color w:val="0000FF"/>
          <w:u w:color="0000FF"/>
        </w:rPr>
        <w:t>0</w:t>
      </w:r>
      <w:r w:rsidR="0043341F">
        <w:rPr>
          <w:rStyle w:val="None"/>
          <w:rFonts w:ascii="Arial" w:hAnsi="Arial"/>
          <w:color w:val="0000FF"/>
          <w:u w:color="0000FF"/>
          <w:lang w:val="bg-BG"/>
        </w:rPr>
        <w:t>9</w:t>
      </w:r>
      <w:r>
        <w:rPr>
          <w:rStyle w:val="None"/>
          <w:rFonts w:ascii="Arial" w:hAnsi="Arial"/>
          <w:color w:val="0000FF"/>
          <w:u w:color="0000FF"/>
        </w:rPr>
        <w:t>.202</w:t>
      </w:r>
      <w:r w:rsidR="007E0B9E">
        <w:rPr>
          <w:rStyle w:val="None"/>
          <w:rFonts w:ascii="Arial" w:hAnsi="Arial"/>
          <w:color w:val="0000FF"/>
          <w:u w:color="0000FF"/>
        </w:rPr>
        <w:t>3</w:t>
      </w:r>
      <w:r>
        <w:rPr>
          <w:rStyle w:val="None"/>
          <w:rFonts w:ascii="Arial" w:hAnsi="Arial"/>
          <w:color w:val="0000FF"/>
          <w:u w:color="0000FF"/>
        </w:rPr>
        <w:t xml:space="preserve"> г.</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781FD0BA" w:rsidR="00D83B98" w:rsidRPr="005C6674" w:rsidRDefault="00264E5E">
      <w:pPr>
        <w:pStyle w:val="10"/>
        <w:tabs>
          <w:tab w:val="left" w:pos="4140"/>
        </w:tabs>
        <w:ind w:firstLine="540"/>
        <w:jc w:val="both"/>
        <w:outlineLvl w:val="0"/>
        <w:rPr>
          <w:rStyle w:val="None"/>
          <w:rFonts w:ascii="Arial" w:eastAsia="Arial" w:hAnsi="Arial" w:cs="Arial"/>
          <w:sz w:val="22"/>
          <w:szCs w:val="22"/>
          <w:lang w:val="bg-BG"/>
        </w:rPr>
      </w:pPr>
      <w:r w:rsidRPr="005C0777">
        <w:rPr>
          <w:rStyle w:val="None"/>
          <w:rFonts w:ascii="Arial" w:hAnsi="Arial"/>
          <w:sz w:val="22"/>
          <w:szCs w:val="22"/>
        </w:rPr>
        <w:t>- Към да</w:t>
      </w:r>
      <w:r w:rsidR="00BD33B2">
        <w:rPr>
          <w:rStyle w:val="None"/>
          <w:rFonts w:ascii="Arial" w:hAnsi="Arial"/>
          <w:sz w:val="22"/>
          <w:szCs w:val="22"/>
        </w:rPr>
        <w:t>тата на Финансовия отчет – 30</w:t>
      </w:r>
      <w:r w:rsidR="00A10F55" w:rsidRPr="005C0777">
        <w:rPr>
          <w:rStyle w:val="None"/>
          <w:rFonts w:ascii="Arial" w:hAnsi="Arial"/>
          <w:sz w:val="22"/>
          <w:szCs w:val="22"/>
        </w:rPr>
        <w:t>.</w:t>
      </w:r>
      <w:r w:rsidR="00762834">
        <w:rPr>
          <w:rStyle w:val="None"/>
          <w:rFonts w:ascii="Arial" w:hAnsi="Arial"/>
          <w:sz w:val="22"/>
          <w:szCs w:val="22"/>
          <w:lang w:val="bg-BG"/>
        </w:rPr>
        <w:t>0</w:t>
      </w:r>
      <w:r w:rsidR="0043341F">
        <w:rPr>
          <w:rStyle w:val="None"/>
          <w:rFonts w:ascii="Arial" w:hAnsi="Arial"/>
          <w:sz w:val="22"/>
          <w:szCs w:val="22"/>
          <w:lang w:val="bg-BG"/>
        </w:rPr>
        <w:t>9</w:t>
      </w:r>
      <w:r w:rsidRPr="005C0777">
        <w:rPr>
          <w:rStyle w:val="None"/>
          <w:rFonts w:ascii="Arial" w:hAnsi="Arial"/>
          <w:sz w:val="22"/>
          <w:szCs w:val="22"/>
        </w:rPr>
        <w:t>.202</w:t>
      </w:r>
      <w:r w:rsidR="00F17943">
        <w:rPr>
          <w:rStyle w:val="None"/>
          <w:rFonts w:ascii="Arial" w:hAnsi="Arial"/>
          <w:sz w:val="22"/>
          <w:szCs w:val="22"/>
        </w:rPr>
        <w:t>3</w:t>
      </w:r>
      <w:r w:rsidRPr="005C0777">
        <w:rPr>
          <w:rStyle w:val="None"/>
          <w:rFonts w:ascii="Arial" w:hAnsi="Arial"/>
          <w:sz w:val="22"/>
          <w:szCs w:val="22"/>
        </w:rPr>
        <w:t xml:space="preserve"> г.</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 xml:space="preserve">ДУНАВ” АД няма </w:t>
      </w:r>
      <w:r w:rsidR="00291A01">
        <w:rPr>
          <w:rStyle w:val="None"/>
          <w:rFonts w:ascii="Arial" w:hAnsi="Arial"/>
          <w:sz w:val="22"/>
          <w:szCs w:val="22"/>
        </w:rPr>
        <w:t>задължения към дружествата си.</w:t>
      </w:r>
      <w:r w:rsidR="005C6674">
        <w:rPr>
          <w:rStyle w:val="None"/>
          <w:rFonts w:ascii="Arial" w:hAnsi="Arial"/>
          <w:sz w:val="22"/>
          <w:szCs w:val="22"/>
          <w:lang w:val="bg-BG"/>
        </w:rPr>
        <w:t xml:space="preserve"> </w:t>
      </w:r>
      <w:bookmarkStart w:id="0" w:name="_GoBack"/>
      <w:bookmarkEnd w:id="0"/>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DD3A10B" w14:textId="3741B34D" w:rsidR="00175799" w:rsidRPr="005C0777" w:rsidRDefault="00264E5E" w:rsidP="00107FA3">
      <w:pPr>
        <w:pStyle w:val="11"/>
        <w:ind w:firstLine="426"/>
        <w:jc w:val="both"/>
        <w:rPr>
          <w:sz w:val="22"/>
          <w:szCs w:val="22"/>
          <w:lang w:val="bg-BG"/>
        </w:rPr>
      </w:pPr>
      <w:r w:rsidRPr="005C0777">
        <w:rPr>
          <w:rStyle w:val="None"/>
          <w:sz w:val="22"/>
          <w:szCs w:val="22"/>
        </w:rPr>
        <w:t xml:space="preserve">- </w:t>
      </w:r>
      <w:r w:rsidR="00175799" w:rsidRPr="005C0777">
        <w:rPr>
          <w:sz w:val="22"/>
          <w:szCs w:val="22"/>
          <w:lang w:val="bg-BG"/>
        </w:rPr>
        <w:t>През първото полугодие на 202</w:t>
      </w:r>
      <w:r w:rsidR="00F17943">
        <w:rPr>
          <w:sz w:val="22"/>
          <w:szCs w:val="22"/>
          <w:lang w:val="bg-BG"/>
        </w:rPr>
        <w:t>3</w:t>
      </w:r>
      <w:r w:rsidR="00175799" w:rsidRPr="005C0777">
        <w:rPr>
          <w:sz w:val="22"/>
          <w:szCs w:val="22"/>
          <w:lang w:val="bg-BG"/>
        </w:rPr>
        <w:t xml:space="preserve"> г. ХД „ДУНАВ“ АД е продал на несвързани лица акциите си от капитала</w:t>
      </w:r>
      <w:r w:rsidR="00387037" w:rsidRPr="005C0777">
        <w:rPr>
          <w:sz w:val="22"/>
          <w:szCs w:val="22"/>
          <w:lang w:val="bg-BG"/>
        </w:rPr>
        <w:t xml:space="preserve"> на асоцииран</w:t>
      </w:r>
      <w:r w:rsidR="00F17943">
        <w:rPr>
          <w:sz w:val="22"/>
          <w:szCs w:val="22"/>
          <w:lang w:val="bg-BG"/>
        </w:rPr>
        <w:t>ото</w:t>
      </w:r>
      <w:r w:rsidR="00387037" w:rsidRPr="005C0777">
        <w:rPr>
          <w:sz w:val="22"/>
          <w:szCs w:val="22"/>
          <w:lang w:val="bg-BG"/>
        </w:rPr>
        <w:t xml:space="preserve"> дружеств</w:t>
      </w:r>
      <w:r w:rsidR="00F17943">
        <w:rPr>
          <w:sz w:val="22"/>
          <w:szCs w:val="22"/>
          <w:lang w:val="bg-BG"/>
        </w:rPr>
        <w:t>о</w:t>
      </w:r>
      <w:r w:rsidR="00387037" w:rsidRPr="005C0777">
        <w:rPr>
          <w:sz w:val="22"/>
          <w:szCs w:val="22"/>
          <w:lang w:val="bg-BG"/>
        </w:rPr>
        <w:t xml:space="preserve"> - „</w:t>
      </w:r>
      <w:r w:rsidR="00F17943">
        <w:rPr>
          <w:sz w:val="22"/>
          <w:szCs w:val="22"/>
          <w:lang w:val="bg-BG"/>
        </w:rPr>
        <w:t>ТЕЛБ ИНВЕСТ“ АД</w:t>
      </w:r>
      <w:r w:rsidR="00175799" w:rsidRPr="005C0777">
        <w:rPr>
          <w:sz w:val="22"/>
          <w:szCs w:val="22"/>
          <w:lang w:val="bg-BG"/>
        </w:rPr>
        <w:t>.</w:t>
      </w:r>
    </w:p>
    <w:p w14:paraId="0AD5E7DC" w14:textId="6E78BB0A" w:rsidR="00175799" w:rsidRPr="005C0777" w:rsidRDefault="00151143" w:rsidP="00151143">
      <w:pPr>
        <w:pStyle w:val="11"/>
        <w:ind w:firstLine="426"/>
        <w:jc w:val="both"/>
        <w:rPr>
          <w:sz w:val="22"/>
          <w:szCs w:val="22"/>
          <w:lang w:val="bg-BG"/>
        </w:rPr>
      </w:pPr>
      <w:r w:rsidRPr="005C0777">
        <w:rPr>
          <w:sz w:val="22"/>
          <w:szCs w:val="22"/>
        </w:rPr>
        <w:t xml:space="preserve">- </w:t>
      </w:r>
      <w:r w:rsidR="00291A01">
        <w:rPr>
          <w:sz w:val="22"/>
          <w:szCs w:val="22"/>
          <w:lang w:val="bg-BG"/>
        </w:rPr>
        <w:t>За сделката</w:t>
      </w:r>
      <w:r w:rsidR="00175799" w:rsidRPr="005C0777">
        <w:rPr>
          <w:sz w:val="22"/>
          <w:szCs w:val="22"/>
          <w:lang w:val="bg-BG"/>
        </w:rPr>
        <w:t xml:space="preserve"> ХД „ДУНАВ“ АД надлежно и своевременно е уведомил Комисията за финансов надзор, Българската фондова борса и Обществеността.</w:t>
      </w:r>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692E928B" w:rsidR="00D83B98" w:rsidRDefault="00D83B98">
      <w:pPr>
        <w:pStyle w:val="10"/>
        <w:tabs>
          <w:tab w:val="left" w:pos="4140"/>
        </w:tabs>
        <w:ind w:firstLine="540"/>
        <w:jc w:val="both"/>
        <w:outlineLvl w:val="0"/>
        <w:rPr>
          <w:rStyle w:val="None"/>
          <w:rFonts w:ascii="Arial" w:eastAsia="Arial" w:hAnsi="Arial" w:cs="Arial"/>
          <w:sz w:val="22"/>
          <w:szCs w:val="22"/>
        </w:rPr>
      </w:pPr>
    </w:p>
    <w:p w14:paraId="38FC85E4" w14:textId="77777777" w:rsidR="006E339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eastAsia="Arial" w:hAnsi="Arial" w:cs="Arial"/>
          <w:sz w:val="22"/>
          <w:szCs w:val="22"/>
        </w:rPr>
        <w:tab/>
      </w: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46B5B707"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264E5E" w:rsidRPr="00BD33B2">
        <w:rPr>
          <w:rStyle w:val="None"/>
          <w:rFonts w:ascii="Arial" w:eastAsia="Arial" w:hAnsi="Arial" w:cs="Arial"/>
          <w:sz w:val="22"/>
          <w:szCs w:val="22"/>
        </w:rPr>
        <w:t>Изп</w:t>
      </w:r>
      <w:r w:rsidR="00264E5E" w:rsidRPr="00BD33B2">
        <w:rPr>
          <w:rStyle w:val="None"/>
          <w:rFonts w:ascii="Arial" w:hAnsi="Arial"/>
          <w:sz w:val="22"/>
          <w:szCs w:val="22"/>
        </w:rPr>
        <w:t>. директор: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96DA" w14:textId="77777777" w:rsidR="00BC6D42" w:rsidRDefault="00BC6D42">
      <w:r>
        <w:separator/>
      </w:r>
    </w:p>
  </w:endnote>
  <w:endnote w:type="continuationSeparator" w:id="0">
    <w:p w14:paraId="3054EFFC" w14:textId="77777777" w:rsidR="00BC6D42" w:rsidRDefault="00BC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02B36A77" w:rsidR="00D83B98" w:rsidRDefault="00264E5E">
    <w:pPr>
      <w:pStyle w:val="1"/>
      <w:jc w:val="right"/>
    </w:pPr>
    <w:r>
      <w:fldChar w:fldCharType="begin"/>
    </w:r>
    <w:r>
      <w:instrText xml:space="preserve"> PAGE </w:instrText>
    </w:r>
    <w:r>
      <w:fldChar w:fldCharType="separate"/>
    </w:r>
    <w:r w:rsidR="005C6674">
      <w:rPr>
        <w:noProof/>
      </w:rPr>
      <w:t>1</w:t>
    </w:r>
    <w:r>
      <w:fldChar w:fldCharType="end"/>
    </w:r>
  </w:p>
  <w:p w14:paraId="5B1B806F" w14:textId="5A167F43"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3000 Враца, ул.”Стоян Кялъчев” №6, пк.31,</w:t>
    </w:r>
    <w:r w:rsidR="00762834">
      <w:rPr>
        <w:rFonts w:ascii="Arial" w:hAnsi="Arial"/>
        <w:sz w:val="18"/>
        <w:szCs w:val="18"/>
        <w:lang w:val="bg-BG"/>
      </w:rPr>
      <w:t xml:space="preserve">мобилен </w:t>
    </w:r>
    <w:r>
      <w:rPr>
        <w:rFonts w:ascii="Arial" w:hAnsi="Arial"/>
        <w:sz w:val="18"/>
        <w:szCs w:val="18"/>
      </w:rPr>
      <w:t>тел:</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8C02" w14:textId="77777777" w:rsidR="00BC6D42" w:rsidRDefault="00BC6D42">
      <w:r>
        <w:separator/>
      </w:r>
    </w:p>
  </w:footnote>
  <w:footnote w:type="continuationSeparator" w:id="0">
    <w:p w14:paraId="0351EB15" w14:textId="77777777" w:rsidR="00BC6D42" w:rsidRDefault="00BC6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6AF2"/>
    <w:rsid w:val="00084177"/>
    <w:rsid w:val="0010189D"/>
    <w:rsid w:val="00107FA3"/>
    <w:rsid w:val="00120F35"/>
    <w:rsid w:val="00151143"/>
    <w:rsid w:val="00175799"/>
    <w:rsid w:val="001F54ED"/>
    <w:rsid w:val="00264E5E"/>
    <w:rsid w:val="00291A01"/>
    <w:rsid w:val="00387037"/>
    <w:rsid w:val="003C5AD4"/>
    <w:rsid w:val="003D6829"/>
    <w:rsid w:val="003F53E0"/>
    <w:rsid w:val="003F7392"/>
    <w:rsid w:val="0043341F"/>
    <w:rsid w:val="00521418"/>
    <w:rsid w:val="005810FC"/>
    <w:rsid w:val="0059790E"/>
    <w:rsid w:val="005C0777"/>
    <w:rsid w:val="005C6674"/>
    <w:rsid w:val="005F65E7"/>
    <w:rsid w:val="00644601"/>
    <w:rsid w:val="006B25AB"/>
    <w:rsid w:val="006E3397"/>
    <w:rsid w:val="00762834"/>
    <w:rsid w:val="007E0B9E"/>
    <w:rsid w:val="00925B60"/>
    <w:rsid w:val="00976AF8"/>
    <w:rsid w:val="009A020D"/>
    <w:rsid w:val="009F5EC5"/>
    <w:rsid w:val="00A04230"/>
    <w:rsid w:val="00A10F55"/>
    <w:rsid w:val="00A411AC"/>
    <w:rsid w:val="00AE6BA6"/>
    <w:rsid w:val="00B90DD3"/>
    <w:rsid w:val="00BC5281"/>
    <w:rsid w:val="00BC6D42"/>
    <w:rsid w:val="00BD33B2"/>
    <w:rsid w:val="00C66C86"/>
    <w:rsid w:val="00CA7FA0"/>
    <w:rsid w:val="00D46C73"/>
    <w:rsid w:val="00D83B98"/>
    <w:rsid w:val="00E01905"/>
    <w:rsid w:val="00E21CD5"/>
    <w:rsid w:val="00E45A19"/>
    <w:rsid w:val="00E65735"/>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uZPMRJvBwEADOxyrJQwJQaGU+UKzdxX6hEStG5LuwjU=</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rbkYR+i+srOv5pfrzwYVZWrtUmWFLoIVcKl0SsJ/tc8=</DigestValue>
    </Reference>
  </SignedInfo>
  <SignatureValue>RpR9gYBAGUoODIyV3Aq639qX9FXsl6Djr7jsf+B+ZM2s2/PZN3wnAsIbLGYJYCCQn8zr8Q4d194/
aGnzcpy3bR+H+6w3KF/KDlGs/ZtVT6GJBqu9txkFdrJ1lFWlT7Ulq+JFDU1qMHEDPcCIlowhxV5l
Ikc57Wd+jCoh+pSp9e6mCX+g5zknbaDtUCAkV84YMEkJds9wYEZfqcyIPxYP7dsr9S77LExe8DxB
HiZdmwQ06Ywq5c0M0Dg0+2u/B6M/ZpkztRSQf0hVGE6eVpm2MmoK4nOwaWb/0Q+L9Zz8gyZUMmwb
ynvqxMi7gw55hnQhTyQBNo5lriiyDK58ubn//w==</SignatureValue>
  <KeyInfo>
    <X509Data>
      <X509Certificate>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rP3fC5MBTlSxysiH3hTMLMxI/WEpPEuSK0moQzXWNjf71qYAazmfqCYuQLUQPRWj9i56Cw0k382j5BkLK6CyeFIw9SLrHBQ0MvJ1ofqJSM+3APF9VUw4dDYu3ryGzi1VBpXcxkHiRJYSQZULQZE9h1eb63h3txFDp28GE7RoWunTrF2wy38RKBKIu7xhbTllgPer0HaLzX/HLKEeF4EOU9tsDZWk7o7ILQwjS2TjfDDlsjX/+DmNOOokR+tiSUs6uUJkwsJb88UnKAgHMJL2qIxn/XX5lkEK1YGbOiKNUSwxOxNjenpV7/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gjEcN4qwc+3c2xT10jTO8EiW+kHIu5vC5n2QHVse7HuUO93ulFTgqUNba7PK5iwfVdOtF3bS89/uYoG6Qwvc+zENzhFsrMh1+zkh3chalYPgRq2mpOFevgjCw+sXpFHdPDM6XngTQ72wDyCQeZsggp4Tb1xcbZwiwnsMnFQRtqK2aBt3UgsLXFoBWXgMZvlIDIpx8IwCTDs1OW5jH8D0APnLcbNt+s6SH8Fqa3SZtuwaf96h0yip0Xlje9GtiLUrwI48hXmtWiPDKtwlIuVYwn69gGOqRMFlI2WZmnYhqg9Q3PC19S5vKUv54yiNpnLPxpf0/C5IRY5IHgoUFhtqKIGxn6jWMseUqXqDABNHXhp8V/av0eMW0YnQwipnuG/WxhXMUXwkGlP2eROQglsGTdrA1Lqa7ZMI1UBE0m5O80uKRiif8Df4CM4PvjJGdYallHzLX2jqwIM29r2VsWbHYXGdYKRH6nkUbzAybUshQ4XltnAaI20XASAtPqxxl8oI41pADIsN4VmobeRgF9uK6g1bsAVbifcosqo2AkQCS5RO0XqCTsD2Nj8hRoGarSf9QHjDMWmmQgwS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E+WLYEmLri5Ki0Nr8ivUvAMhig8Azca3MTkEGqqAnc8=</DigestValue>
      </Reference>
      <Reference URI="/word/endnotes.xml?ContentType=application/vnd.openxmlformats-officedocument.wordprocessingml.endnotes+xml">
        <DigestMethod Algorithm="http://www.w3.org/2001/04/xmlenc#sha256"/>
        <DigestValue>HTASpGVW02RPEW7OCDO0EL3jv+a/3YFtGPqSaY1q9cA=</DigestValue>
      </Reference>
      <Reference URI="/word/fontTable.xml?ContentType=application/vnd.openxmlformats-officedocument.wordprocessingml.fontTable+xml">
        <DigestMethod Algorithm="http://www.w3.org/2001/04/xmlenc#sha256"/>
        <DigestValue>/wuyyUzAOanUN+i4+JCZBsB2s3n1OAWgEzQCtl4JXnI=</DigestValue>
      </Reference>
      <Reference URI="/word/footer1.xml?ContentType=application/vnd.openxmlformats-officedocument.wordprocessingml.footer+xml">
        <DigestMethod Algorithm="http://www.w3.org/2001/04/xmlenc#sha256"/>
        <DigestValue>ZIMcXkZgi8/akFYddLfbbD2Dg0VD2C6X/cXxDn1Ivns=</DigestValue>
      </Reference>
      <Reference URI="/word/footnotes.xml?ContentType=application/vnd.openxmlformats-officedocument.wordprocessingml.footnotes+xml">
        <DigestMethod Algorithm="http://www.w3.org/2001/04/xmlenc#sha256"/>
        <DigestValue>KECVCnn6ELawTLdcu/PAu0HkmCE1bTxbmIi4OZBOHYw=</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Lv1HZbSkGWUNyDMuctvPmwra8898FFj/iFhEORh0fNs=</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2023-10-30T11:44:19Z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2023-10-30T11:44:19Z</xd:SigningTime>
          <xd:SigningCertificate>
            <xd:Cert>
              <xd:CertDigest>
                <DigestMethod Algorithm="http://www.w3.org/2001/04/xmlenc#sha256"/>
                <DigestValue>avmGEqeuj/0j1q2ycFKNxoZ6Dv3sqosFl2I1wDs4uUE=</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5D86-CE09-4879-AADF-7BB68AA0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317</Words>
  <Characters>1810</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34</cp:revision>
  <cp:lastPrinted>2023-10-24T10:52:00Z</cp:lastPrinted>
  <dcterms:created xsi:type="dcterms:W3CDTF">2022-07-28T10:18:00Z</dcterms:created>
  <dcterms:modified xsi:type="dcterms:W3CDTF">2023-10-24T10:52:00Z</dcterms:modified>
</cp:coreProperties>
</file>